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ŚWIADCZENIA PIENIĘŻNE WYPŁACANE ŻOŁNIERZOM REZERWY</w:t>
      </w:r>
      <w:r w:rsidR="00022A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ORAZ OSOBOM PRZENIESIONYM DO REZERWY NIEBĘDĄCYM ŻOŁNIERZAMI REZERWY</w:t>
      </w:r>
      <w:r w:rsidRPr="007758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 KTÓRZY ODBYLI ĆWICZENIA WOJSKOWE</w:t>
      </w:r>
    </w:p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Świadczenia rekompensujące (informacje ogólne)</w:t>
      </w:r>
    </w:p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Jeżeli w związku z powołaniem żołnierza rezerwy na ćwiczenia wojskowe utracił on dochody w zakładzie pracy</w:t>
      </w:r>
      <w:r w:rsidR="00F30DE5">
        <w:rPr>
          <w:rFonts w:ascii="Times New Roman" w:eastAsia="Times New Roman" w:hAnsi="Times New Roman" w:cs="Times New Roman"/>
          <w:color w:val="000000"/>
          <w:lang w:eastAsia="pl-PL"/>
        </w:rPr>
        <w:t>, w przypadku prowadzenia działalności gospodarczej, lub rolniczej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, a wysokość uposażenia otrzymanego za ćwiczenia wojskowe nie pokrywa tych strat, żołnierzowi rezerwy przysługuj</w:t>
      </w:r>
      <w:r w:rsidR="00061386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</w:t>
      </w:r>
      <w:r w:rsidR="00061386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 rekompensujące. Świadczenie rekompensujące wypłaca się żołnierzowi za cały okres ćwiczeń wojskowych. Przez udział żołnierza w ćwiczeniach wojskowych rozumie się: stawiennictwo i przyjęcie go do stanu ewidencyjnego jednostki wojskowej, ogłoszenie tego faktu w rozkazie dowódcy jednostki wojskowej oraz faktyczną realizację programu ćwiczeń.</w:t>
      </w:r>
    </w:p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Okres, za który przysługuje </w:t>
      </w:r>
      <w:r w:rsidR="00D7255F"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świadczenie 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rekompens</w:t>
      </w:r>
      <w:r w:rsidR="00D7255F">
        <w:rPr>
          <w:rFonts w:ascii="Times New Roman" w:eastAsia="Times New Roman" w:hAnsi="Times New Roman" w:cs="Times New Roman"/>
          <w:color w:val="000000"/>
          <w:lang w:eastAsia="pl-PL"/>
        </w:rPr>
        <w:t>ujące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 stanowi sumę dni ćwiczeń wojskowych od dnia stawienia się żołnierza do dnia jego zwolnienia. Do okresu rozliczeniowego ćwiczeń wojskowych, za które przysługuje rekompensata nie wlicza się dni, w których żołnierz:</w:t>
      </w:r>
    </w:p>
    <w:p w:rsidR="00775857" w:rsidRPr="00775857" w:rsidRDefault="00775857" w:rsidP="00507E6C">
      <w:pPr>
        <w:numPr>
          <w:ilvl w:val="0"/>
          <w:numId w:val="1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samowolnie opuścił jednostkę lub wyznaczone miejsce przebywania albo samowolnie poza nimi pozostawał,</w:t>
      </w:r>
    </w:p>
    <w:p w:rsidR="00775857" w:rsidRPr="00775857" w:rsidRDefault="00775857" w:rsidP="00507E6C">
      <w:pPr>
        <w:numPr>
          <w:ilvl w:val="0"/>
          <w:numId w:val="1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z powodu spożycia alkoholu, narkotyków lub innych środków odurzających był niezdolny do wykonywania obowiązków służbowych</w:t>
      </w:r>
    </w:p>
    <w:p w:rsidR="00775857" w:rsidRPr="00775857" w:rsidRDefault="00775857" w:rsidP="00507E6C">
      <w:pPr>
        <w:numPr>
          <w:ilvl w:val="0"/>
          <w:numId w:val="1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z powodu samookaleczenia lub samouszkodzenia ciała był niezdolny do wykonywania obowiązków służbowych,</w:t>
      </w:r>
    </w:p>
    <w:p w:rsidR="00775857" w:rsidRPr="00775857" w:rsidRDefault="00775857" w:rsidP="00507E6C">
      <w:pPr>
        <w:numPr>
          <w:ilvl w:val="0"/>
          <w:numId w:val="1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odmówił uczestnictwa w szkoleniu lub wykonywania obowiązków służbowych,</w:t>
      </w:r>
    </w:p>
    <w:p w:rsidR="00775857" w:rsidRPr="00775857" w:rsidRDefault="00775857" w:rsidP="00507E6C">
      <w:pPr>
        <w:numPr>
          <w:ilvl w:val="0"/>
          <w:numId w:val="1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nie odbywał ćwiczeń wojskowych z powodu niestawienia się na nie w terminie lub nie usprawiedliwionego spóźnienia z przepustki, urlopu albo podróży służbowej.</w:t>
      </w:r>
    </w:p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Świadczenie rekompensujące przysługują 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żołnierzowi rezerwy oraz osobie przeniesionej do rezerwy niebędącej żołnierzem rezerwy, którzy odbyli ćwiczenia wojskowe, </w:t>
      </w:r>
      <w:r w:rsidRPr="007758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wyjątkiem ćwiczeń trwających do dwudziestu czterech godzin odbywających się w czasie lub dniu wolnym od pracy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, przysługuje świadczenie pieniężne rekompensujące utracone wynagrodzenie ze stosunku pracy lub stosunku służbowego albo dochód z prowadzonej działalności gospodarczej lub rolniczej, które mogliby uzyskać w okresie odbywania ćwiczeń wojskowych.</w:t>
      </w:r>
    </w:p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Świadczenie rekompensujące stanowią odpowiednio:</w:t>
      </w:r>
    </w:p>
    <w:p w:rsidR="00775857" w:rsidRPr="00775857" w:rsidRDefault="00775857" w:rsidP="00507E6C">
      <w:pPr>
        <w:numPr>
          <w:ilvl w:val="0"/>
          <w:numId w:val="2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kwota miesięcznego wynagrodzenia otrzymanego przez żołnierza ze stosunku pracy lub stosunku służbowego podzielona przez 21 i następnie pomnożona przez liczbę dni odbytych ćwiczeń wojskowych;</w:t>
      </w:r>
    </w:p>
    <w:p w:rsidR="00775857" w:rsidRPr="00775857" w:rsidRDefault="00775857" w:rsidP="00507E6C">
      <w:pPr>
        <w:numPr>
          <w:ilvl w:val="0"/>
          <w:numId w:val="2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kwota dochodu uzyskanego przez żołnierza z prowadzonej działalności gospodarczej za ostatni rok podatkowy poprzedzający okres odbytych ćwiczeń wojskowych, podzielona przez 252 i następnie pomnożona przez liczbę dni odbytych ćwiczeń wojskowych;</w:t>
      </w:r>
    </w:p>
    <w:p w:rsidR="00775857" w:rsidRPr="00775857" w:rsidRDefault="00775857" w:rsidP="00507E6C">
      <w:pPr>
        <w:numPr>
          <w:ilvl w:val="0"/>
          <w:numId w:val="2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kwota uzyskana z pomnożenia liczby hektarów przeliczeniowych, w rozumieniu ustawy z dnia 15 listopada 1984 r. o podatku rolnym (Dz. U. z 2020 r. poz. 333), gospodarstwa rolnego, w którym żołnierz prowadzi działalność rolniczą, przez miesięczną wysokość przeciętnego dochodu z pracy w indywidualnych gospodarstwach rolnych z 1 ha przeliczeniowego, ogłoszoną na podstawie art. 18 tej ustawy, podzielona przez 21 i następnie pomnożona przez liczbę dni odbytych ćwiczeń wojskowych. W przypadku współwłasności gospodarstwa rolnego, dochód z pracy współwłaściciela będzie liczony zgodnie z jego udziałem we współwłasności.</w:t>
      </w:r>
    </w:p>
    <w:p w:rsidR="0085449C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Świadczenie pieniężne za każdy dzień ćwiczeń wojskowych stanowi kwota 1/21 miesięcznego wynagrodzenia lub dochodu, o których mowa w </w:t>
      </w:r>
      <w:r w:rsidR="00376C23">
        <w:rPr>
          <w:rFonts w:ascii="Times New Roman" w:eastAsia="Times New Roman" w:hAnsi="Times New Roman" w:cs="Times New Roman"/>
          <w:color w:val="000000"/>
          <w:lang w:eastAsia="pl-PL"/>
        </w:rPr>
        <w:t xml:space="preserve">§5 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ust. </w:t>
      </w:r>
      <w:r w:rsidR="00376C23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D7255F">
        <w:rPr>
          <w:rFonts w:ascii="Times New Roman" w:eastAsia="Times New Roman" w:hAnsi="Times New Roman" w:cs="Times New Roman"/>
          <w:color w:val="000000"/>
          <w:lang w:eastAsia="pl-PL"/>
        </w:rPr>
        <w:t xml:space="preserve"> Rozporządzenia Rady Ministrów z dnia 25 sierpnia </w:t>
      </w:r>
      <w:r w:rsidR="00D7255F" w:rsidRPr="00D7255F">
        <w:rPr>
          <w:rFonts w:ascii="Times New Roman" w:eastAsia="Times New Roman" w:hAnsi="Times New Roman" w:cs="Times New Roman"/>
          <w:i/>
          <w:color w:val="000000"/>
          <w:lang w:eastAsia="pl-PL"/>
        </w:rPr>
        <w:t>w sprawie sposobu ustalania i trybu wypłacania świadczenia pieniężnego żołnierzom rezerwy oraz osobom przeniesionym do rezerwy niebędącym żołnierzami rezerwy</w:t>
      </w:r>
      <w:r w:rsidR="00D7255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pomnożona przez liczbę dni ćwiczeń wojskowych. Kwota dziennego świadczenia pieniężnego nie może być wyższa od 1/21 dwu i pół-krotnego przeciętnego miesięcznego wynagrodzenia w sektorze przedsiębiorstw obowiązującego w okresie poprzedzającym termin powołania do odbycia ćwiczeń wojskowych, którego wysokość ogłasza Prezes Głównego Urzędu Statystycznego.</w:t>
      </w:r>
    </w:p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Świadczenie pieniężne ustala i wypłaca wójt lub burmistrz (prezydent miasta) na udokumentowany wniosek uprawnionego żołnierza rezerwy lub osoby przeniesionej do rezerwy niebędącej żołnierzem rezerwy, złożony nie później niż w ciągu trzech miesięcy od zakończenia ćwiczeń wojskowych. Świadczenie pieniężne wypłaca się w kwocie pomniejszonej o uposażenie, jakie żołnierz rezerwy otrzymał z tytułu ćwiczeń wojskowych.</w:t>
      </w:r>
    </w:p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W przypadku zbiegu uprawnień do kwot, żołnierzowi przysługuje tylko jeden, bardziej korzystny rodzaj świadczenia rekompensującego.</w:t>
      </w:r>
    </w:p>
    <w:p w:rsidR="00775857" w:rsidRPr="00775857" w:rsidRDefault="00775857" w:rsidP="00507E6C">
      <w:pPr>
        <w:spacing w:before="100" w:beforeAutospacing="1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Wypłata należnego świadczenia rekompensującego żołnierz następuje po złożeniu wniosku do </w:t>
      </w:r>
      <w:r w:rsidRPr="007758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Prezydenta Miasta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. Prezydent Miasta niezwłocznie nie później niż w terminie 7 dni od otrzymania wniosku, wypłaca żołnierzowi świadczenie rekompensujące.</w:t>
      </w:r>
    </w:p>
    <w:p w:rsidR="00775857" w:rsidRPr="00775857" w:rsidRDefault="00775857" w:rsidP="00507E6C">
      <w:pPr>
        <w:spacing w:before="100" w:beforeAutospacing="1" w:after="0" w:line="240" w:lineRule="auto"/>
        <w:ind w:left="363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Wymagane dokumenty.</w:t>
      </w:r>
    </w:p>
    <w:p w:rsidR="005A0F5E" w:rsidRDefault="001817D7" w:rsidP="00507E6C">
      <w:pPr>
        <w:numPr>
          <w:ilvl w:val="0"/>
          <w:numId w:val="3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8" w:history="1">
        <w:r w:rsidR="00775857" w:rsidRPr="002D4299">
          <w:rPr>
            <w:rStyle w:val="Hipercze"/>
            <w:rFonts w:ascii="Times New Roman" w:eastAsia="Times New Roman" w:hAnsi="Times New Roman" w:cs="Times New Roman"/>
            <w:lang w:eastAsia="pl-PL"/>
          </w:rPr>
          <w:t>wniosek o ustalenie i wypłatę należnego świadczenia rekompensującego</w:t>
        </w:r>
      </w:hyperlink>
      <w:r w:rsidR="00507E6C">
        <w:rPr>
          <w:rStyle w:val="Hipercze"/>
          <w:rFonts w:ascii="Times New Roman" w:eastAsia="Times New Roman" w:hAnsi="Times New Roman" w:cs="Times New Roman"/>
          <w:lang w:eastAsia="pl-PL"/>
        </w:rPr>
        <w:t>,</w:t>
      </w:r>
    </w:p>
    <w:p w:rsidR="00775857" w:rsidRPr="005A0F5E" w:rsidRDefault="00775857" w:rsidP="00507E6C">
      <w:pPr>
        <w:numPr>
          <w:ilvl w:val="0"/>
          <w:numId w:val="3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A0F5E">
        <w:rPr>
          <w:rFonts w:ascii="Times New Roman" w:eastAsia="Times New Roman" w:hAnsi="Times New Roman" w:cs="Times New Roman"/>
          <w:color w:val="000000"/>
          <w:lang w:eastAsia="pl-PL"/>
        </w:rPr>
        <w:t>zaświadczenie wydane przez dowódcę jednostki wojskowej o odbyciu przez żołnierza rezerwy ćwiczeń wojskowych</w:t>
      </w:r>
      <w:r w:rsidR="00507E6C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775857" w:rsidRPr="005A0F5E" w:rsidRDefault="00376C23" w:rsidP="00507E6C">
      <w:pPr>
        <w:numPr>
          <w:ilvl w:val="0"/>
          <w:numId w:val="3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zaświadczenie o kwocie dziennego utraconego wynagrodzenia albo dochodu wystawione przez: </w:t>
      </w:r>
    </w:p>
    <w:p w:rsidR="00775857" w:rsidRPr="00775857" w:rsidRDefault="001817D7" w:rsidP="00507E6C">
      <w:pPr>
        <w:numPr>
          <w:ilvl w:val="1"/>
          <w:numId w:val="3"/>
        </w:numPr>
        <w:spacing w:after="0" w:line="240" w:lineRule="auto"/>
        <w:ind w:left="30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9" w:history="1">
        <w:r w:rsidR="00775857" w:rsidRPr="002D4299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pracodawcę – w </w:t>
        </w:r>
        <w:r w:rsidR="00376C23" w:rsidRPr="002D4299">
          <w:rPr>
            <w:rStyle w:val="Hipercze"/>
            <w:rFonts w:ascii="Times New Roman" w:eastAsia="Times New Roman" w:hAnsi="Times New Roman" w:cs="Times New Roman"/>
            <w:lang w:eastAsia="pl-PL"/>
          </w:rPr>
          <w:t>przypadku</w:t>
        </w:r>
        <w:r w:rsidR="00775857" w:rsidRPr="002D4299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żołnierzy będących pracownikami lub pozostających w stosunku służbowym pracy,</w:t>
        </w:r>
      </w:hyperlink>
    </w:p>
    <w:p w:rsidR="00775857" w:rsidRPr="00775857" w:rsidRDefault="00775857" w:rsidP="00507E6C">
      <w:pPr>
        <w:numPr>
          <w:ilvl w:val="1"/>
          <w:numId w:val="3"/>
        </w:numPr>
        <w:spacing w:after="0" w:line="240" w:lineRule="auto"/>
        <w:ind w:left="30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naczelnika urzędu skarbowego – </w:t>
      </w:r>
      <w:r w:rsidR="00376C23">
        <w:rPr>
          <w:rFonts w:ascii="Times New Roman" w:eastAsia="Times New Roman" w:hAnsi="Times New Roman" w:cs="Times New Roman"/>
          <w:color w:val="000000"/>
          <w:lang w:eastAsia="pl-PL"/>
        </w:rPr>
        <w:t xml:space="preserve">dotyczy 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 xml:space="preserve"> żołnierzy prowadzących samodzielnie działalność gospodarczą,</w:t>
      </w:r>
    </w:p>
    <w:p w:rsidR="00775857" w:rsidRPr="00775857" w:rsidRDefault="00775857" w:rsidP="00507E6C">
      <w:pPr>
        <w:numPr>
          <w:ilvl w:val="1"/>
          <w:numId w:val="3"/>
        </w:numPr>
        <w:spacing w:after="0" w:line="240" w:lineRule="auto"/>
        <w:ind w:left="30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wójta, burmistrza lub prezydenta miasta – w stosunku do żołnierzy utrzymujących się wyłącznie z działalności rolnej,</w:t>
      </w:r>
    </w:p>
    <w:p w:rsidR="00775857" w:rsidRPr="00775857" w:rsidRDefault="00775857" w:rsidP="00507E6C">
      <w:pPr>
        <w:numPr>
          <w:ilvl w:val="0"/>
          <w:numId w:val="3"/>
        </w:numPr>
        <w:spacing w:after="0" w:line="240" w:lineRule="auto"/>
        <w:ind w:left="150"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zaświadczenie organu podatkowego o niemożności ustalenia kwoty dochodu – w stosunku do żołnierzy prowadzących działalność gospodarczą opodatkowaną zryczałtowanym podatkiem dochodowym pobieranym w formie ryczałtu lub kartą podatkową.</w:t>
      </w:r>
    </w:p>
    <w:p w:rsidR="008D05FA" w:rsidRDefault="008D05FA" w:rsidP="00507E6C">
      <w:pPr>
        <w:spacing w:after="0"/>
        <w:ind w:right="107"/>
        <w:jc w:val="both"/>
        <w:rPr>
          <w:b/>
        </w:rPr>
      </w:pPr>
    </w:p>
    <w:p w:rsidR="0085449C" w:rsidRDefault="00775857" w:rsidP="00507E6C">
      <w:pPr>
        <w:spacing w:after="0"/>
        <w:ind w:right="107"/>
        <w:jc w:val="both"/>
        <w:rPr>
          <w:b/>
        </w:rPr>
      </w:pPr>
      <w:r w:rsidRPr="00376C23">
        <w:rPr>
          <w:b/>
        </w:rPr>
        <w:t>W przypadku gdy prowadzona przez żołnierza działalność gospodarcza nie przynosiła dochodu lub przynosiła straty lub gdy nie jest możliwe ustalenie wysokości dochodu uzyskiwanego przez żołnierza z</w:t>
      </w:r>
      <w:r w:rsidR="00507E6C">
        <w:rPr>
          <w:b/>
        </w:rPr>
        <w:t> </w:t>
      </w:r>
      <w:r w:rsidRPr="00376C23">
        <w:rPr>
          <w:b/>
        </w:rPr>
        <w:t xml:space="preserve">prowadzonej działalności gospodarczej, świadczenie  </w:t>
      </w:r>
      <w:r w:rsidR="00376C23">
        <w:rPr>
          <w:b/>
        </w:rPr>
        <w:t>r</w:t>
      </w:r>
      <w:r w:rsidRPr="00376C23">
        <w:rPr>
          <w:b/>
        </w:rPr>
        <w:t>ekompensujące przysługuje temu żołnierzowi w</w:t>
      </w:r>
      <w:r w:rsidR="00507E6C">
        <w:rPr>
          <w:b/>
        </w:rPr>
        <w:t> </w:t>
      </w:r>
      <w:r w:rsidRPr="00376C23">
        <w:rPr>
          <w:b/>
        </w:rPr>
        <w:t>kwocie wynikającej z podzielenia przez 21 minimalnego wynagrodzenia za pracę pracowników ustalonego na podstawie przepisów ustawy z dnia 10 października 2002 r. o minimalnym wynagrodzeniu za pracę (</w:t>
      </w:r>
      <w:proofErr w:type="spellStart"/>
      <w:r w:rsidRPr="00376C23">
        <w:rPr>
          <w:b/>
        </w:rPr>
        <w:t>t.j</w:t>
      </w:r>
      <w:proofErr w:type="spellEnd"/>
      <w:r w:rsidRPr="00376C23">
        <w:rPr>
          <w:b/>
        </w:rPr>
        <w:t xml:space="preserve">. Dz. U. z 2018 r. poz. 2177, z 2019 r. poz. 1564), obowiązującego w okresie odbywania ćwiczeń, i następnie pomnożenia przez liczbę dni odbytych ćwiczeń wojskowych. </w:t>
      </w:r>
    </w:p>
    <w:p w:rsidR="008D05FA" w:rsidRDefault="008D05FA" w:rsidP="00507E6C">
      <w:pPr>
        <w:spacing w:after="0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514DB" w:rsidRDefault="00775857" w:rsidP="00507E6C">
      <w:pPr>
        <w:spacing w:after="120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Kwotę należnego świadczenia można otrzymać przelewem na kont</w:t>
      </w:r>
      <w:r w:rsidR="00376C23">
        <w:rPr>
          <w:rFonts w:ascii="Times New Roman" w:eastAsia="Times New Roman" w:hAnsi="Times New Roman" w:cs="Times New Roman"/>
          <w:color w:val="000000"/>
          <w:lang w:eastAsia="pl-PL"/>
        </w:rPr>
        <w:t>o.</w:t>
      </w:r>
      <w:r w:rsidRPr="0077585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0270CF" w:rsidRDefault="000270CF" w:rsidP="00507E6C">
      <w:pPr>
        <w:spacing w:after="120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Termin załatwienia sprawy wynosi do 7 dni od dnia złożenia kompletnego wniosku</w:t>
      </w:r>
      <w:r w:rsidR="004514D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514DB" w:rsidRDefault="00376C23" w:rsidP="00507E6C">
      <w:pPr>
        <w:spacing w:after="120"/>
        <w:ind w:right="1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Wnioski można składać drogą elektroniczną przez portal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, osobiście lub drogą pocztową</w:t>
      </w:r>
      <w:r w:rsidR="0085449C">
        <w:rPr>
          <w:rFonts w:ascii="Times New Roman" w:eastAsia="Times New Roman" w:hAnsi="Times New Roman" w:cs="Times New Roman"/>
          <w:color w:val="000000"/>
          <w:lang w:eastAsia="pl-PL"/>
        </w:rPr>
        <w:t xml:space="preserve"> na</w:t>
      </w:r>
      <w:r w:rsidR="008D05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449C">
        <w:rPr>
          <w:rFonts w:ascii="Times New Roman" w:eastAsia="Times New Roman" w:hAnsi="Times New Roman" w:cs="Times New Roman"/>
          <w:color w:val="000000"/>
          <w:lang w:eastAsia="pl-PL"/>
        </w:rPr>
        <w:t>adres:</w:t>
      </w:r>
    </w:p>
    <w:p w:rsidR="008D05FA" w:rsidRDefault="0085449C" w:rsidP="00507E6C">
      <w:pPr>
        <w:spacing w:after="0"/>
        <w:ind w:right="10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Urząd Miasta Krakowa</w:t>
      </w:r>
      <w:r w:rsidR="004514DB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Krakowskie Centrum Świadczeń</w:t>
      </w:r>
      <w:r w:rsidR="004514DB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ul. Stachowicza 18</w:t>
      </w:r>
      <w:r w:rsidR="004514DB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30-103 Kraków</w:t>
      </w:r>
      <w:r w:rsidR="004514D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D05FA">
        <w:rPr>
          <w:rFonts w:ascii="Times New Roman" w:eastAsia="Times New Roman" w:hAnsi="Times New Roman" w:cs="Times New Roman"/>
          <w:color w:val="000000"/>
          <w:lang w:eastAsia="pl-PL"/>
        </w:rPr>
        <w:t>Tel: 12 616-50</w:t>
      </w:r>
      <w:r w:rsidR="004514DB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="008D05FA">
        <w:rPr>
          <w:rFonts w:ascii="Times New Roman" w:eastAsia="Times New Roman" w:hAnsi="Times New Roman" w:cs="Times New Roman"/>
          <w:color w:val="000000"/>
          <w:lang w:eastAsia="pl-PL"/>
        </w:rPr>
        <w:t>50</w:t>
      </w:r>
      <w:bookmarkStart w:id="0" w:name="_GoBack"/>
      <w:bookmarkEnd w:id="0"/>
      <w:r w:rsidR="004514DB">
        <w:rPr>
          <w:rFonts w:ascii="Times New Roman" w:eastAsia="Times New Roman" w:hAnsi="Times New Roman" w:cs="Times New Roman"/>
          <w:color w:val="000000"/>
          <w:lang w:eastAsia="pl-PL"/>
        </w:rPr>
        <w:br/>
        <w:t>od poniedziałku do piątku w godzinach 7:40-15:00</w:t>
      </w:r>
      <w:r w:rsidR="004514D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D05FA">
        <w:rPr>
          <w:rFonts w:ascii="Times New Roman" w:eastAsia="Times New Roman" w:hAnsi="Times New Roman" w:cs="Times New Roman"/>
          <w:color w:val="000000"/>
          <w:lang w:eastAsia="pl-PL"/>
        </w:rPr>
        <w:t xml:space="preserve">e-mail: </w:t>
      </w:r>
      <w:hyperlink r:id="rId10" w:history="1">
        <w:r w:rsidR="008D05FA" w:rsidRPr="00320595">
          <w:rPr>
            <w:rStyle w:val="Hipercze"/>
            <w:rFonts w:ascii="Times New Roman" w:eastAsia="Times New Roman" w:hAnsi="Times New Roman" w:cs="Times New Roman"/>
            <w:lang w:eastAsia="pl-PL"/>
          </w:rPr>
          <w:t>so.umk@um.krakow.pl</w:t>
        </w:r>
      </w:hyperlink>
    </w:p>
    <w:sectPr w:rsidR="008D05FA" w:rsidSect="004514DB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7D7" w:rsidRDefault="001817D7" w:rsidP="004514DB">
      <w:pPr>
        <w:spacing w:after="0" w:line="240" w:lineRule="auto"/>
      </w:pPr>
      <w:r>
        <w:separator/>
      </w:r>
    </w:p>
  </w:endnote>
  <w:endnote w:type="continuationSeparator" w:id="0">
    <w:p w:rsidR="001817D7" w:rsidRDefault="001817D7" w:rsidP="0045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7D7" w:rsidRDefault="001817D7" w:rsidP="004514DB">
      <w:pPr>
        <w:spacing w:after="0" w:line="240" w:lineRule="auto"/>
      </w:pPr>
      <w:r>
        <w:separator/>
      </w:r>
    </w:p>
  </w:footnote>
  <w:footnote w:type="continuationSeparator" w:id="0">
    <w:p w:rsidR="001817D7" w:rsidRDefault="001817D7" w:rsidP="0045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3.75pt" o:bullet="t">
        <v:imagedata r:id="rId1" o:title="107-strz1"/>
      </v:shape>
    </w:pict>
  </w:numPicBullet>
  <w:abstractNum w:abstractNumId="0" w15:restartNumberingAfterBreak="0">
    <w:nsid w:val="4E2A6F50"/>
    <w:multiLevelType w:val="multilevel"/>
    <w:tmpl w:val="44C0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20E89"/>
    <w:multiLevelType w:val="multilevel"/>
    <w:tmpl w:val="9420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15E21"/>
    <w:multiLevelType w:val="multilevel"/>
    <w:tmpl w:val="C1D004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57"/>
    <w:rsid w:val="00022A3B"/>
    <w:rsid w:val="000270CF"/>
    <w:rsid w:val="00061386"/>
    <w:rsid w:val="001817D7"/>
    <w:rsid w:val="00291CC3"/>
    <w:rsid w:val="002D4299"/>
    <w:rsid w:val="002F327B"/>
    <w:rsid w:val="00376C23"/>
    <w:rsid w:val="004514DB"/>
    <w:rsid w:val="004E183B"/>
    <w:rsid w:val="00507E6C"/>
    <w:rsid w:val="005A0F5E"/>
    <w:rsid w:val="00775857"/>
    <w:rsid w:val="0085449C"/>
    <w:rsid w:val="008D05FA"/>
    <w:rsid w:val="00A23F33"/>
    <w:rsid w:val="00A70AB9"/>
    <w:rsid w:val="00A74511"/>
    <w:rsid w:val="00D7255F"/>
    <w:rsid w:val="00DB2564"/>
    <w:rsid w:val="00EF2D6C"/>
    <w:rsid w:val="00F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EAA4"/>
  <w15:chartTrackingRefBased/>
  <w15:docId w15:val="{9D2C0061-CDED-4E73-BF80-FC3BDF06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5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5F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42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4DB"/>
  </w:style>
  <w:style w:type="paragraph" w:styleId="Stopka">
    <w:name w:val="footer"/>
    <w:basedOn w:val="Normalny"/>
    <w:link w:val="StopkaZnak"/>
    <w:uiPriority w:val="99"/>
    <w:unhideWhenUsed/>
    <w:rsid w:val="0045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6037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187017873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2528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krakow.pl/zalaczniki/procedury/265768/kar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.umk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krakow.pl/zalaczniki/procedury/227596/kart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0F5D-E675-4027-9DA1-EEA22391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Bożena</dc:creator>
  <cp:keywords/>
  <dc:description/>
  <cp:lastModifiedBy>Marciniak Bożena</cp:lastModifiedBy>
  <cp:revision>4</cp:revision>
  <dcterms:created xsi:type="dcterms:W3CDTF">2020-09-09T09:32:00Z</dcterms:created>
  <dcterms:modified xsi:type="dcterms:W3CDTF">2020-09-09T09:50:00Z</dcterms:modified>
</cp:coreProperties>
</file>